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A25" w:rsidRDefault="00E02A25" w:rsidP="003828A2">
      <w:pPr>
        <w:spacing w:after="0"/>
        <w:jc w:val="center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>L’armonizzazione contabile del settore pubblico italiano:</w:t>
      </w:r>
    </w:p>
    <w:p w:rsidR="00F203F4" w:rsidRPr="00F203F4" w:rsidRDefault="00E02A25" w:rsidP="003828A2">
      <w:pPr>
        <w:spacing w:after="0"/>
        <w:jc w:val="center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>il contributo degli studiosi di Economia Aziendale</w:t>
      </w:r>
    </w:p>
    <w:p w:rsidR="00F203F4" w:rsidRPr="00F203F4" w:rsidRDefault="00F203F4" w:rsidP="003828A2">
      <w:pPr>
        <w:spacing w:after="0"/>
        <w:jc w:val="both"/>
        <w:rPr>
          <w:rFonts w:ascii="Verdana" w:hAnsi="Verdana"/>
        </w:rPr>
      </w:pPr>
    </w:p>
    <w:p w:rsidR="00D22281" w:rsidRPr="00F203F4" w:rsidRDefault="00D22281" w:rsidP="003828A2">
      <w:pPr>
        <w:jc w:val="both"/>
        <w:rPr>
          <w:rFonts w:ascii="Verdana" w:hAnsi="Verdana"/>
        </w:rPr>
      </w:pPr>
      <w:r w:rsidRPr="00F203F4">
        <w:rPr>
          <w:rFonts w:ascii="Verdana" w:hAnsi="Verdana"/>
        </w:rPr>
        <w:t>L’opportunità di una convergenza contabile tra i vari livelli della Pubblica Amministrazione nazionale è stata segnalata e discussa da lungo tempo tra gli studiosi di economia delle aziende e amministrazioni pubbliche.</w:t>
      </w:r>
      <w:r w:rsidR="00941334">
        <w:rPr>
          <w:rFonts w:ascii="Verdana" w:hAnsi="Verdana"/>
        </w:rPr>
        <w:t xml:space="preserve"> </w:t>
      </w:r>
      <w:r w:rsidR="00E02A25">
        <w:rPr>
          <w:rFonts w:ascii="Verdana" w:hAnsi="Verdana"/>
        </w:rPr>
        <w:t>In tempi recenti, g</w:t>
      </w:r>
      <w:r w:rsidRPr="00F203F4">
        <w:rPr>
          <w:rFonts w:ascii="Verdana" w:hAnsi="Verdana"/>
        </w:rPr>
        <w:t xml:space="preserve">li annosi problemi legati alle differenze di logiche di rilevazione e di rappresentazione dei risultati contabili tra le diverse </w:t>
      </w:r>
      <w:r w:rsidR="00941334">
        <w:rPr>
          <w:rFonts w:ascii="Verdana" w:hAnsi="Verdana"/>
        </w:rPr>
        <w:t>realtà istituzionali</w:t>
      </w:r>
      <w:r w:rsidRPr="00F203F4">
        <w:rPr>
          <w:rFonts w:ascii="Verdana" w:hAnsi="Verdana"/>
        </w:rPr>
        <w:t xml:space="preserve"> pubbliche hanno trovato un duplice riferimen</w:t>
      </w:r>
      <w:r w:rsidR="00941334">
        <w:rPr>
          <w:rFonts w:ascii="Verdana" w:hAnsi="Verdana"/>
        </w:rPr>
        <w:t>to normativo</w:t>
      </w:r>
      <w:r w:rsidRPr="00F203F4">
        <w:rPr>
          <w:rFonts w:ascii="Verdana" w:hAnsi="Verdana"/>
        </w:rPr>
        <w:t xml:space="preserve"> nel</w:t>
      </w:r>
      <w:r w:rsidR="00941334">
        <w:rPr>
          <w:rFonts w:ascii="Verdana" w:hAnsi="Verdana"/>
        </w:rPr>
        <w:t>l’emanazione del D.Lgs. 91/2011 e d</w:t>
      </w:r>
      <w:r w:rsidRPr="00F203F4">
        <w:rPr>
          <w:rFonts w:ascii="Verdana" w:hAnsi="Verdana"/>
        </w:rPr>
        <w:t xml:space="preserve">el D.Lgs. 118/2011. </w:t>
      </w:r>
      <w:r w:rsidR="0040295C" w:rsidRPr="00F203F4">
        <w:rPr>
          <w:rFonts w:ascii="Verdana" w:hAnsi="Verdana"/>
        </w:rPr>
        <w:t>Come è noto si tratta di provvedimenti di attuazione di due diverse deleghe: il primo, riferito alle amministra</w:t>
      </w:r>
      <w:r w:rsidR="00941334">
        <w:rPr>
          <w:rFonts w:ascii="Verdana" w:hAnsi="Verdana"/>
        </w:rPr>
        <w:t xml:space="preserve">zioni </w:t>
      </w:r>
      <w:r w:rsidR="0040295C" w:rsidRPr="00F203F4">
        <w:rPr>
          <w:rFonts w:ascii="Verdana" w:hAnsi="Verdana"/>
        </w:rPr>
        <w:t xml:space="preserve">di carattere </w:t>
      </w:r>
      <w:r w:rsidR="00941334">
        <w:rPr>
          <w:rFonts w:ascii="Verdana" w:hAnsi="Verdana"/>
        </w:rPr>
        <w:t xml:space="preserve">non </w:t>
      </w:r>
      <w:r w:rsidR="0040295C" w:rsidRPr="00F203F4">
        <w:rPr>
          <w:rFonts w:ascii="Verdana" w:hAnsi="Verdana"/>
        </w:rPr>
        <w:t>territoriale, nasce dalla delega prevista dalla L. 196/2009, di riforma del sistema contabile dell’amministrazione centrale dello Stato. Il secondo</w:t>
      </w:r>
      <w:r w:rsidR="005F5019" w:rsidRPr="00F203F4">
        <w:rPr>
          <w:rFonts w:ascii="Verdana" w:hAnsi="Verdana"/>
        </w:rPr>
        <w:t>, di perti</w:t>
      </w:r>
      <w:r w:rsidR="00941334">
        <w:rPr>
          <w:rFonts w:ascii="Verdana" w:hAnsi="Verdana"/>
        </w:rPr>
        <w:t>nenza</w:t>
      </w:r>
      <w:r w:rsidR="005F5019" w:rsidRPr="00F203F4">
        <w:rPr>
          <w:rFonts w:ascii="Verdana" w:hAnsi="Verdana"/>
        </w:rPr>
        <w:t xml:space="preserve"> delle amministrazioni periferiche,</w:t>
      </w:r>
      <w:r w:rsidR="0040295C" w:rsidRPr="00F203F4">
        <w:rPr>
          <w:rFonts w:ascii="Verdana" w:hAnsi="Verdana"/>
        </w:rPr>
        <w:t xml:space="preserve"> rappresenta uno dei decreti attuativi della L. 4</w:t>
      </w:r>
      <w:r w:rsidR="00941334">
        <w:rPr>
          <w:rFonts w:ascii="Verdana" w:hAnsi="Verdana"/>
        </w:rPr>
        <w:t>2/2009</w:t>
      </w:r>
      <w:r w:rsidR="00E02A25">
        <w:rPr>
          <w:rFonts w:ascii="Verdana" w:hAnsi="Verdana"/>
        </w:rPr>
        <w:t>,</w:t>
      </w:r>
      <w:r w:rsidR="0040295C" w:rsidRPr="00F203F4">
        <w:rPr>
          <w:rFonts w:ascii="Verdana" w:hAnsi="Verdana"/>
        </w:rPr>
        <w:t xml:space="preserve"> </w:t>
      </w:r>
      <w:r w:rsidR="00941334">
        <w:rPr>
          <w:rFonts w:ascii="Verdana" w:hAnsi="Verdana"/>
        </w:rPr>
        <w:t xml:space="preserve">che ha </w:t>
      </w:r>
      <w:r w:rsidR="00E02A25">
        <w:rPr>
          <w:rFonts w:ascii="Verdana" w:hAnsi="Verdana"/>
        </w:rPr>
        <w:t>cercato</w:t>
      </w:r>
      <w:r w:rsidR="00941334">
        <w:rPr>
          <w:rFonts w:ascii="Verdana" w:hAnsi="Verdana"/>
        </w:rPr>
        <w:t xml:space="preserve"> di introdurre nel nostro Paese il cosiddetto</w:t>
      </w:r>
      <w:r w:rsidR="0040295C" w:rsidRPr="00F203F4">
        <w:rPr>
          <w:rFonts w:ascii="Verdana" w:hAnsi="Verdana"/>
        </w:rPr>
        <w:t xml:space="preserve"> fed</w:t>
      </w:r>
      <w:r w:rsidR="00E02A25">
        <w:rPr>
          <w:rFonts w:ascii="Verdana" w:hAnsi="Verdana"/>
        </w:rPr>
        <w:t>eralismo fiscale, ne</w:t>
      </w:r>
      <w:r w:rsidR="0040295C" w:rsidRPr="00F203F4">
        <w:rPr>
          <w:rFonts w:ascii="Verdana" w:hAnsi="Verdana"/>
        </w:rPr>
        <w:t>l tentativo di operare un decentramento amministrativo e impositivo maturato in un contesto politico ed economico molto diverso da quello attuale.</w:t>
      </w:r>
    </w:p>
    <w:p w:rsidR="0040295C" w:rsidRPr="00F203F4" w:rsidRDefault="005F5019" w:rsidP="003828A2">
      <w:pPr>
        <w:jc w:val="both"/>
        <w:rPr>
          <w:rFonts w:ascii="Verdana" w:hAnsi="Verdana"/>
        </w:rPr>
      </w:pPr>
      <w:r w:rsidRPr="00F203F4">
        <w:rPr>
          <w:rFonts w:ascii="Verdana" w:hAnsi="Verdana"/>
        </w:rPr>
        <w:t>Le novità</w:t>
      </w:r>
      <w:r w:rsidR="00E8134D" w:rsidRPr="00F203F4">
        <w:rPr>
          <w:rFonts w:ascii="Verdana" w:hAnsi="Verdana"/>
        </w:rPr>
        <w:t xml:space="preserve"> contenute da</w:t>
      </w:r>
      <w:r w:rsidRPr="00F203F4">
        <w:rPr>
          <w:rFonts w:ascii="Verdana" w:hAnsi="Verdana"/>
        </w:rPr>
        <w:t>i due decreti legislativi</w:t>
      </w:r>
      <w:r w:rsidR="00941334">
        <w:rPr>
          <w:rFonts w:ascii="Verdana" w:hAnsi="Verdana"/>
        </w:rPr>
        <w:t>, soprattutto ne</w:t>
      </w:r>
      <w:r w:rsidR="00E8134D" w:rsidRPr="00F203F4">
        <w:rPr>
          <w:rFonts w:ascii="Verdana" w:hAnsi="Verdana"/>
        </w:rPr>
        <w:t>l secondo,</w:t>
      </w:r>
      <w:r w:rsidR="00941334">
        <w:rPr>
          <w:rFonts w:ascii="Verdana" w:hAnsi="Verdana"/>
        </w:rPr>
        <w:t xml:space="preserve"> sono di forte</w:t>
      </w:r>
      <w:r w:rsidR="00E8134D" w:rsidRPr="00F203F4">
        <w:rPr>
          <w:rFonts w:ascii="Verdana" w:hAnsi="Verdana"/>
        </w:rPr>
        <w:t xml:space="preserve"> impatto</w:t>
      </w:r>
      <w:r w:rsidR="00941334">
        <w:rPr>
          <w:rFonts w:ascii="Verdana" w:hAnsi="Verdana"/>
        </w:rPr>
        <w:t>. Non a caso è stata</w:t>
      </w:r>
      <w:r w:rsidR="00E8134D" w:rsidRPr="00F203F4">
        <w:rPr>
          <w:rFonts w:ascii="Verdana" w:hAnsi="Verdana"/>
        </w:rPr>
        <w:t xml:space="preserve"> prevista una </w:t>
      </w:r>
      <w:r w:rsidR="00941334">
        <w:rPr>
          <w:rFonts w:ascii="Verdana" w:hAnsi="Verdana"/>
        </w:rPr>
        <w:t xml:space="preserve">lunga </w:t>
      </w:r>
      <w:r w:rsidR="00E8134D" w:rsidRPr="00F203F4">
        <w:rPr>
          <w:rFonts w:ascii="Verdana" w:hAnsi="Verdana"/>
        </w:rPr>
        <w:t xml:space="preserve">fase di sperimentazione e la </w:t>
      </w:r>
      <w:r w:rsidR="00941334">
        <w:rPr>
          <w:rFonts w:ascii="Verdana" w:hAnsi="Verdana"/>
        </w:rPr>
        <w:t xml:space="preserve">pur graduale </w:t>
      </w:r>
      <w:r w:rsidR="00D355E1">
        <w:rPr>
          <w:rFonts w:ascii="Verdana" w:hAnsi="Verdana"/>
        </w:rPr>
        <w:t>introduzione</w:t>
      </w:r>
      <w:r w:rsidR="00E8134D" w:rsidRPr="00F203F4">
        <w:rPr>
          <w:rFonts w:ascii="Verdana" w:hAnsi="Verdana"/>
        </w:rPr>
        <w:t xml:space="preserve"> </w:t>
      </w:r>
      <w:r w:rsidR="00E02A25">
        <w:rPr>
          <w:rFonts w:ascii="Verdana" w:hAnsi="Verdana"/>
        </w:rPr>
        <w:t xml:space="preserve">del </w:t>
      </w:r>
      <w:r w:rsidR="00E02A25" w:rsidRPr="00F203F4">
        <w:rPr>
          <w:rFonts w:ascii="Verdana" w:hAnsi="Verdana"/>
        </w:rPr>
        <w:t>D.Lgs. 118/2011</w:t>
      </w:r>
      <w:r w:rsidR="00E02A25">
        <w:rPr>
          <w:rFonts w:ascii="Verdana" w:hAnsi="Verdana"/>
        </w:rPr>
        <w:t xml:space="preserve"> </w:t>
      </w:r>
      <w:r w:rsidR="00E8134D" w:rsidRPr="00F203F4">
        <w:rPr>
          <w:rFonts w:ascii="Verdana" w:hAnsi="Verdana"/>
        </w:rPr>
        <w:t xml:space="preserve">ha </w:t>
      </w:r>
      <w:r w:rsidR="00941334">
        <w:rPr>
          <w:rFonts w:ascii="Verdana" w:hAnsi="Verdana"/>
        </w:rPr>
        <w:t>richiesto</w:t>
      </w:r>
      <w:r w:rsidR="00E8134D" w:rsidRPr="00F203F4">
        <w:rPr>
          <w:rFonts w:ascii="Verdana" w:hAnsi="Verdana"/>
        </w:rPr>
        <w:t xml:space="preserve"> successive proroghe. A questo si aggiunga che </w:t>
      </w:r>
      <w:r w:rsidR="00E02A25">
        <w:rPr>
          <w:rFonts w:ascii="Verdana" w:hAnsi="Verdana"/>
        </w:rPr>
        <w:t>la norma</w:t>
      </w:r>
      <w:r w:rsidR="00E8134D" w:rsidRPr="00F203F4">
        <w:rPr>
          <w:rFonts w:ascii="Verdana" w:hAnsi="Verdana"/>
        </w:rPr>
        <w:t xml:space="preserve"> e suoi allegati hanno </w:t>
      </w:r>
      <w:r w:rsidR="00941334">
        <w:rPr>
          <w:rFonts w:ascii="Verdana" w:hAnsi="Verdana"/>
        </w:rPr>
        <w:t>conosciuto – e stanno ancora conoscendo – successivi</w:t>
      </w:r>
      <w:r w:rsidR="00E8134D" w:rsidRPr="00F203F4">
        <w:rPr>
          <w:rFonts w:ascii="Verdana" w:hAnsi="Verdana"/>
        </w:rPr>
        <w:t xml:space="preserve"> aggiustamenti, anche sulla base delle esperienze di prima </w:t>
      </w:r>
      <w:r w:rsidR="00D355E1">
        <w:rPr>
          <w:rFonts w:ascii="Verdana" w:hAnsi="Verdana"/>
        </w:rPr>
        <w:t>adozione</w:t>
      </w:r>
      <w:r w:rsidR="00E8134D" w:rsidRPr="00F203F4">
        <w:rPr>
          <w:rFonts w:ascii="Verdana" w:hAnsi="Verdana"/>
        </w:rPr>
        <w:t>.</w:t>
      </w:r>
    </w:p>
    <w:p w:rsidR="00E8134D" w:rsidRPr="00F203F4" w:rsidRDefault="00E8134D" w:rsidP="003828A2">
      <w:pPr>
        <w:spacing w:after="0"/>
        <w:jc w:val="both"/>
        <w:rPr>
          <w:rFonts w:ascii="Verdana" w:hAnsi="Verdana"/>
        </w:rPr>
      </w:pPr>
      <w:r w:rsidRPr="00F203F4">
        <w:rPr>
          <w:rFonts w:ascii="Verdana" w:hAnsi="Verdana"/>
        </w:rPr>
        <w:t xml:space="preserve">Le </w:t>
      </w:r>
      <w:r w:rsidR="00D355E1">
        <w:rPr>
          <w:rFonts w:ascii="Verdana" w:hAnsi="Verdana"/>
        </w:rPr>
        <w:t xml:space="preserve">principali </w:t>
      </w:r>
      <w:r w:rsidRPr="00F203F4">
        <w:rPr>
          <w:rFonts w:ascii="Verdana" w:hAnsi="Verdana"/>
        </w:rPr>
        <w:t>scelte operate dal Governo sono note</w:t>
      </w:r>
      <w:r w:rsidR="00D355E1">
        <w:rPr>
          <w:rFonts w:ascii="Verdana" w:hAnsi="Verdana"/>
        </w:rPr>
        <w:t>:</w:t>
      </w:r>
    </w:p>
    <w:p w:rsidR="00D355E1" w:rsidRDefault="00D355E1" w:rsidP="003828A2">
      <w:pPr>
        <w:pStyle w:val="Paragrafoelenco"/>
        <w:numPr>
          <w:ilvl w:val="0"/>
          <w:numId w:val="4"/>
        </w:numPr>
        <w:tabs>
          <w:tab w:val="left" w:pos="284"/>
        </w:tabs>
        <w:spacing w:line="276" w:lineRule="auto"/>
        <w:ind w:left="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emanazione di </w:t>
      </w:r>
      <w:r w:rsidR="00D22281" w:rsidRPr="00F203F4">
        <w:rPr>
          <w:rFonts w:ascii="Verdana" w:hAnsi="Verdana" w:cs="Times New Roman"/>
        </w:rPr>
        <w:t xml:space="preserve">principi contabili generali e </w:t>
      </w:r>
      <w:r>
        <w:rPr>
          <w:rFonts w:ascii="Verdana" w:hAnsi="Verdana" w:cs="Times New Roman"/>
        </w:rPr>
        <w:t xml:space="preserve">di </w:t>
      </w:r>
      <w:r w:rsidR="00E02A25">
        <w:rPr>
          <w:rFonts w:ascii="Verdana" w:hAnsi="Verdana" w:cs="Times New Roman"/>
        </w:rPr>
        <w:t xml:space="preserve">una serie di </w:t>
      </w:r>
      <w:r>
        <w:rPr>
          <w:rFonts w:ascii="Verdana" w:hAnsi="Verdana" w:cs="Times New Roman"/>
        </w:rPr>
        <w:t xml:space="preserve">regole </w:t>
      </w:r>
      <w:r w:rsidR="00D22281" w:rsidRPr="00F203F4">
        <w:rPr>
          <w:rFonts w:ascii="Verdana" w:hAnsi="Verdana" w:cs="Times New Roman"/>
        </w:rPr>
        <w:t>applicati</w:t>
      </w:r>
      <w:r>
        <w:rPr>
          <w:rFonts w:ascii="Verdana" w:hAnsi="Verdana" w:cs="Times New Roman"/>
        </w:rPr>
        <w:t xml:space="preserve">ve nel tentativo di ricerca </w:t>
      </w:r>
      <w:r w:rsidR="00D22281" w:rsidRPr="00F203F4">
        <w:rPr>
          <w:rFonts w:ascii="Verdana" w:hAnsi="Verdana" w:cs="Times New Roman"/>
        </w:rPr>
        <w:t>omogenei</w:t>
      </w:r>
      <w:r>
        <w:rPr>
          <w:rFonts w:ascii="Verdana" w:hAnsi="Verdana" w:cs="Times New Roman"/>
        </w:rPr>
        <w:t>tà</w:t>
      </w:r>
      <w:r w:rsidR="00D22281" w:rsidRPr="00F203F4">
        <w:rPr>
          <w:rFonts w:ascii="Verdana" w:hAnsi="Verdana" w:cs="Times New Roman"/>
        </w:rPr>
        <w:t xml:space="preserve"> e confrontabili</w:t>
      </w:r>
      <w:r>
        <w:rPr>
          <w:rFonts w:ascii="Verdana" w:hAnsi="Verdana" w:cs="Times New Roman"/>
        </w:rPr>
        <w:t>tà dei comportamenti (tanto che</w:t>
      </w:r>
      <w:r w:rsidR="003828A2">
        <w:rPr>
          <w:rFonts w:ascii="Verdana" w:hAnsi="Verdana" w:cs="Times New Roman"/>
        </w:rPr>
        <w:t>,</w:t>
      </w:r>
      <w:r>
        <w:rPr>
          <w:rFonts w:ascii="Verdana" w:hAnsi="Verdana" w:cs="Times New Roman"/>
        </w:rPr>
        <w:t xml:space="preserve"> più che di armonizzazione</w:t>
      </w:r>
      <w:r w:rsidR="003828A2">
        <w:rPr>
          <w:rFonts w:ascii="Verdana" w:hAnsi="Verdana" w:cs="Times New Roman"/>
        </w:rPr>
        <w:t>,</w:t>
      </w:r>
      <w:r>
        <w:rPr>
          <w:rFonts w:ascii="Verdana" w:hAnsi="Verdana" w:cs="Times New Roman"/>
        </w:rPr>
        <w:t xml:space="preserve"> taluni preferiscono parlare di vera e propria standardizzazione contabile);</w:t>
      </w:r>
    </w:p>
    <w:p w:rsidR="003828A2" w:rsidRDefault="003828A2" w:rsidP="003828A2">
      <w:pPr>
        <w:pStyle w:val="Paragrafoelenco"/>
        <w:numPr>
          <w:ilvl w:val="0"/>
          <w:numId w:val="4"/>
        </w:numPr>
        <w:tabs>
          <w:tab w:val="left" w:pos="284"/>
        </w:tabs>
        <w:spacing w:line="276" w:lineRule="auto"/>
        <w:ind w:left="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correzione del tradizionale sistema </w:t>
      </w:r>
      <w:r w:rsidR="00E02A25">
        <w:rPr>
          <w:rFonts w:ascii="Verdana" w:hAnsi="Verdana" w:cs="Times New Roman"/>
        </w:rPr>
        <w:t>contabile a base</w:t>
      </w:r>
      <w:r>
        <w:rPr>
          <w:rFonts w:ascii="Verdana" w:hAnsi="Verdana" w:cs="Times New Roman"/>
        </w:rPr>
        <w:t xml:space="preserve"> finanziaria, introducendo </w:t>
      </w:r>
      <w:r w:rsidRPr="00E02A25">
        <w:rPr>
          <w:rFonts w:ascii="Verdana" w:hAnsi="Verdana" w:cs="Times New Roman"/>
        </w:rPr>
        <w:t>il principio della competenza finanziaria potenziata</w:t>
      </w:r>
      <w:r>
        <w:rPr>
          <w:rFonts w:ascii="Verdana" w:hAnsi="Verdana" w:cs="Times New Roman"/>
        </w:rPr>
        <w:t xml:space="preserve"> e altre novità tese a dare maggior certezza alla copertura della spesa (come il fondo crediti di dubbia esigibilità e il fondo vincolato pluriennale);</w:t>
      </w:r>
    </w:p>
    <w:p w:rsidR="003828A2" w:rsidRDefault="003828A2" w:rsidP="003828A2">
      <w:pPr>
        <w:pStyle w:val="Paragrafoelenco"/>
        <w:numPr>
          <w:ilvl w:val="0"/>
          <w:numId w:val="4"/>
        </w:numPr>
        <w:tabs>
          <w:tab w:val="left" w:pos="284"/>
        </w:tabs>
        <w:spacing w:line="276" w:lineRule="auto"/>
        <w:ind w:left="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conferma della scelta di utilizzare la </w:t>
      </w:r>
      <w:r w:rsidRPr="00F203F4">
        <w:rPr>
          <w:rFonts w:ascii="Verdana" w:hAnsi="Verdana" w:cs="Times New Roman"/>
        </w:rPr>
        <w:t xml:space="preserve">contabilità economica-patrimoniale </w:t>
      </w:r>
      <w:r w:rsidR="00E02A25">
        <w:rPr>
          <w:rFonts w:ascii="Verdana" w:hAnsi="Verdana" w:cs="Times New Roman"/>
        </w:rPr>
        <w:t>a soli</w:t>
      </w:r>
      <w:r>
        <w:rPr>
          <w:rFonts w:ascii="Verdana" w:hAnsi="Verdana" w:cs="Times New Roman"/>
        </w:rPr>
        <w:t xml:space="preserve"> scopi conoscitivi, integrata con quella a base finanziaria che mantiene la </w:t>
      </w:r>
      <w:r w:rsidR="00E02A25">
        <w:rPr>
          <w:rFonts w:ascii="Verdana" w:hAnsi="Verdana" w:cs="Times New Roman"/>
        </w:rPr>
        <w:t xml:space="preserve">tradizionale </w:t>
      </w:r>
      <w:r>
        <w:rPr>
          <w:rFonts w:ascii="Verdana" w:hAnsi="Verdana" w:cs="Times New Roman"/>
        </w:rPr>
        <w:t>funzione autorizzativa;</w:t>
      </w:r>
    </w:p>
    <w:p w:rsidR="003828A2" w:rsidRDefault="003828A2" w:rsidP="003828A2">
      <w:pPr>
        <w:pStyle w:val="Paragrafoelenco"/>
        <w:numPr>
          <w:ilvl w:val="0"/>
          <w:numId w:val="4"/>
        </w:numPr>
        <w:tabs>
          <w:tab w:val="left" w:pos="284"/>
        </w:tabs>
        <w:spacing w:line="276" w:lineRule="auto"/>
        <w:ind w:left="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adozione di </w:t>
      </w:r>
      <w:r w:rsidRPr="00F203F4">
        <w:rPr>
          <w:rFonts w:ascii="Verdana" w:hAnsi="Verdana" w:cs="Times New Roman"/>
        </w:rPr>
        <w:t>un piano integrato dei conti per tutto il settore pubblico</w:t>
      </w:r>
      <w:r w:rsidR="00E02A25">
        <w:rPr>
          <w:rFonts w:ascii="Verdana" w:hAnsi="Verdana" w:cs="Times New Roman"/>
        </w:rPr>
        <w:t>,</w:t>
      </w:r>
      <w:r w:rsidRPr="00F203F4">
        <w:rPr>
          <w:rFonts w:ascii="Verdana" w:hAnsi="Verdana" w:cs="Times New Roman"/>
        </w:rPr>
        <w:t xml:space="preserve"> comprendente anche i conti di natura economico-patrimoniale oltre </w:t>
      </w:r>
      <w:r>
        <w:rPr>
          <w:rFonts w:ascii="Verdana" w:hAnsi="Verdana" w:cs="Times New Roman"/>
        </w:rPr>
        <w:t xml:space="preserve">a </w:t>
      </w:r>
      <w:r w:rsidRPr="00F203F4">
        <w:rPr>
          <w:rFonts w:ascii="Verdana" w:hAnsi="Verdana" w:cs="Times New Roman"/>
        </w:rPr>
        <w:t>quelli di natura finanziaria</w:t>
      </w:r>
      <w:r>
        <w:rPr>
          <w:rFonts w:ascii="Verdana" w:hAnsi="Verdana" w:cs="Times New Roman"/>
        </w:rPr>
        <w:t>;</w:t>
      </w:r>
    </w:p>
    <w:p w:rsidR="003828A2" w:rsidRDefault="003828A2" w:rsidP="003828A2">
      <w:pPr>
        <w:pStyle w:val="Paragrafoelenco"/>
        <w:numPr>
          <w:ilvl w:val="0"/>
          <w:numId w:val="4"/>
        </w:numPr>
        <w:tabs>
          <w:tab w:val="left" w:pos="284"/>
        </w:tabs>
        <w:spacing w:line="276" w:lineRule="auto"/>
        <w:ind w:left="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inserimento del bilancio di previsione in un nuovo pro</w:t>
      </w:r>
      <w:r w:rsidR="00E02A25">
        <w:rPr>
          <w:rFonts w:ascii="Verdana" w:hAnsi="Verdana" w:cs="Times New Roman"/>
        </w:rPr>
        <w:t xml:space="preserve">cesso di programmazione, con l’istituzione </w:t>
      </w:r>
      <w:r>
        <w:rPr>
          <w:rFonts w:ascii="Verdana" w:hAnsi="Verdana" w:cs="Times New Roman"/>
        </w:rPr>
        <w:t>del Documento Unico di Programmazione;</w:t>
      </w:r>
    </w:p>
    <w:p w:rsidR="003828A2" w:rsidRPr="00F203F4" w:rsidRDefault="003828A2" w:rsidP="003828A2">
      <w:pPr>
        <w:pStyle w:val="Paragrafoelenco"/>
        <w:numPr>
          <w:ilvl w:val="0"/>
          <w:numId w:val="4"/>
        </w:numPr>
        <w:tabs>
          <w:tab w:val="left" w:pos="284"/>
        </w:tabs>
        <w:spacing w:line="276" w:lineRule="auto"/>
        <w:ind w:left="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>nuovi schemi di bilancio e rendiconto allineati a quelli introdotti dall’ultima riforma di contabilità statale;</w:t>
      </w:r>
    </w:p>
    <w:p w:rsidR="00D22281" w:rsidRPr="00F203F4" w:rsidRDefault="00D355E1" w:rsidP="003828A2">
      <w:pPr>
        <w:pStyle w:val="Paragrafoelenco"/>
        <w:numPr>
          <w:ilvl w:val="0"/>
          <w:numId w:val="4"/>
        </w:numPr>
        <w:tabs>
          <w:tab w:val="left" w:pos="284"/>
        </w:tabs>
        <w:spacing w:line="276" w:lineRule="auto"/>
        <w:ind w:left="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previsione di </w:t>
      </w:r>
      <w:r w:rsidR="00D22281" w:rsidRPr="00F203F4">
        <w:rPr>
          <w:rFonts w:ascii="Verdana" w:hAnsi="Verdana" w:cs="Times New Roman"/>
        </w:rPr>
        <w:t xml:space="preserve">un sistema di indicatori di risultato </w:t>
      </w:r>
      <w:r w:rsidR="003828A2">
        <w:rPr>
          <w:rFonts w:ascii="Verdana" w:hAnsi="Verdana" w:cs="Times New Roman"/>
        </w:rPr>
        <w:t xml:space="preserve">legati ai programmi di bilancio </w:t>
      </w:r>
      <w:r>
        <w:rPr>
          <w:rFonts w:ascii="Verdana" w:hAnsi="Verdana" w:cs="Times New Roman"/>
        </w:rPr>
        <w:t xml:space="preserve">da pubblicare </w:t>
      </w:r>
      <w:r w:rsidR="003828A2">
        <w:rPr>
          <w:rFonts w:ascii="Verdana" w:hAnsi="Verdana" w:cs="Times New Roman"/>
        </w:rPr>
        <w:t>s</w:t>
      </w:r>
      <w:r>
        <w:rPr>
          <w:rFonts w:ascii="Verdana" w:hAnsi="Verdana" w:cs="Times New Roman"/>
        </w:rPr>
        <w:t>ia in fase di programmazione che di rendicontazione</w:t>
      </w:r>
      <w:r w:rsidR="003828A2">
        <w:rPr>
          <w:rFonts w:ascii="Verdana" w:hAnsi="Verdana" w:cs="Times New Roman"/>
        </w:rPr>
        <w:t>;</w:t>
      </w:r>
    </w:p>
    <w:p w:rsidR="003828A2" w:rsidRPr="003828A2" w:rsidRDefault="003828A2" w:rsidP="003828A2">
      <w:pPr>
        <w:pStyle w:val="Paragrafoelenco"/>
        <w:numPr>
          <w:ilvl w:val="0"/>
          <w:numId w:val="4"/>
        </w:numPr>
        <w:tabs>
          <w:tab w:val="left" w:pos="284"/>
        </w:tabs>
        <w:spacing w:after="200" w:line="276" w:lineRule="auto"/>
        <w:ind w:left="0" w:firstLine="0"/>
        <w:rPr>
          <w:rFonts w:ascii="Verdana" w:hAnsi="Verdana" w:cs="Times New Roman"/>
        </w:rPr>
      </w:pPr>
      <w:r>
        <w:rPr>
          <w:rFonts w:ascii="Verdana" w:hAnsi="Verdana" w:cs="Times New Roman"/>
        </w:rPr>
        <w:t xml:space="preserve">obbligo di predisporre </w:t>
      </w:r>
      <w:r w:rsidR="00D22281" w:rsidRPr="00F203F4">
        <w:rPr>
          <w:rFonts w:ascii="Verdana" w:hAnsi="Verdana" w:cs="Times New Roman"/>
        </w:rPr>
        <w:t xml:space="preserve">il bilancio consolidato </w:t>
      </w:r>
      <w:r>
        <w:rPr>
          <w:rFonts w:ascii="Verdana" w:hAnsi="Verdana" w:cs="Times New Roman"/>
        </w:rPr>
        <w:t xml:space="preserve">in una logica di riconoscimento del concetto di </w:t>
      </w:r>
      <w:r w:rsidR="00D22281" w:rsidRPr="00F203F4">
        <w:rPr>
          <w:rFonts w:ascii="Verdana" w:hAnsi="Verdana" w:cs="Times New Roman"/>
        </w:rPr>
        <w:t xml:space="preserve">gruppo </w:t>
      </w:r>
      <w:r>
        <w:rPr>
          <w:rFonts w:ascii="Verdana" w:hAnsi="Verdana" w:cs="Times New Roman"/>
        </w:rPr>
        <w:t xml:space="preserve">pubblico </w:t>
      </w:r>
      <w:r w:rsidR="00D22281" w:rsidRPr="00F203F4">
        <w:rPr>
          <w:rFonts w:ascii="Verdana" w:hAnsi="Verdana" w:cs="Times New Roman"/>
        </w:rPr>
        <w:t>locale</w:t>
      </w:r>
      <w:r>
        <w:rPr>
          <w:rFonts w:ascii="Verdana" w:hAnsi="Verdana" w:cs="Times New Roman"/>
        </w:rPr>
        <w:t>.</w:t>
      </w:r>
    </w:p>
    <w:p w:rsidR="00136B75" w:rsidRPr="00F203F4" w:rsidRDefault="00EB5870" w:rsidP="00EB5870">
      <w:pPr>
        <w:jc w:val="both"/>
        <w:rPr>
          <w:rFonts w:ascii="Verdana" w:hAnsi="Verdana" w:cs="Times New Roman"/>
        </w:rPr>
      </w:pPr>
      <w:r>
        <w:rPr>
          <w:rFonts w:ascii="Verdana" w:hAnsi="Verdana" w:cs="Times New Roman"/>
        </w:rPr>
        <w:lastRenderedPageBreak/>
        <w:t xml:space="preserve">Le esperienze in corso stanno evidenziano non poche difficoltà. </w:t>
      </w:r>
      <w:r w:rsidR="00136B75" w:rsidRPr="00F203F4">
        <w:rPr>
          <w:rFonts w:ascii="Verdana" w:hAnsi="Verdana" w:cs="Times New Roman"/>
        </w:rPr>
        <w:t xml:space="preserve">Basti pensare alle </w:t>
      </w:r>
      <w:r w:rsidR="004E2354">
        <w:rPr>
          <w:rFonts w:ascii="Verdana" w:hAnsi="Verdana" w:cs="Times New Roman"/>
        </w:rPr>
        <w:t>vicende legate a</w:t>
      </w:r>
      <w:r w:rsidR="00136B75" w:rsidRPr="00F203F4">
        <w:rPr>
          <w:rFonts w:ascii="Verdana" w:hAnsi="Verdana" w:cs="Times New Roman"/>
        </w:rPr>
        <w:t xml:space="preserve">l riaccertamento </w:t>
      </w:r>
      <w:r w:rsidR="004E2354">
        <w:rPr>
          <w:rFonts w:ascii="Verdana" w:hAnsi="Verdana" w:cs="Times New Roman"/>
        </w:rPr>
        <w:t xml:space="preserve">straordinario </w:t>
      </w:r>
      <w:r w:rsidR="00136B75" w:rsidRPr="00F203F4">
        <w:rPr>
          <w:rFonts w:ascii="Verdana" w:hAnsi="Verdana" w:cs="Times New Roman"/>
        </w:rPr>
        <w:t xml:space="preserve">dei residui e l’obbligo di </w:t>
      </w:r>
      <w:r w:rsidR="004E2354">
        <w:rPr>
          <w:rFonts w:ascii="Verdana" w:hAnsi="Verdana" w:cs="Times New Roman"/>
        </w:rPr>
        <w:t>prima is</w:t>
      </w:r>
      <w:r>
        <w:rPr>
          <w:rFonts w:ascii="Verdana" w:hAnsi="Verdana" w:cs="Times New Roman"/>
        </w:rPr>
        <w:t>t</w:t>
      </w:r>
      <w:r w:rsidR="004E2354">
        <w:rPr>
          <w:rFonts w:ascii="Verdana" w:hAnsi="Verdana" w:cs="Times New Roman"/>
        </w:rPr>
        <w:t>ituzione</w:t>
      </w:r>
      <w:r w:rsidR="00136B75" w:rsidRPr="00F203F4">
        <w:rPr>
          <w:rFonts w:ascii="Verdana" w:hAnsi="Verdana" w:cs="Times New Roman"/>
        </w:rPr>
        <w:t xml:space="preserve"> del fondo crediti di dubbia esig</w:t>
      </w:r>
      <w:r w:rsidR="004E2354">
        <w:rPr>
          <w:rFonts w:ascii="Verdana" w:hAnsi="Verdana" w:cs="Times New Roman"/>
        </w:rPr>
        <w:t>i</w:t>
      </w:r>
      <w:r w:rsidR="00136B75" w:rsidRPr="00F203F4">
        <w:rPr>
          <w:rFonts w:ascii="Verdana" w:hAnsi="Verdana" w:cs="Times New Roman"/>
        </w:rPr>
        <w:t>bili</w:t>
      </w:r>
      <w:r w:rsidR="004E2354">
        <w:rPr>
          <w:rFonts w:ascii="Verdana" w:hAnsi="Verdana" w:cs="Times New Roman"/>
        </w:rPr>
        <w:t>tà; o</w:t>
      </w:r>
      <w:r w:rsidR="00136B75" w:rsidRPr="00F203F4">
        <w:rPr>
          <w:rFonts w:ascii="Verdana" w:hAnsi="Verdana" w:cs="Times New Roman"/>
        </w:rPr>
        <w:t>ppure allo slittamento deciso dal legislatore per l’implementazione del nuovo sistema di programmazione con la previsione del DUP o le difficoltà prospettiche legate all’</w:t>
      </w:r>
      <w:r w:rsidR="004E2354">
        <w:rPr>
          <w:rFonts w:ascii="Verdana" w:hAnsi="Verdana" w:cs="Times New Roman"/>
        </w:rPr>
        <w:t>o</w:t>
      </w:r>
      <w:r w:rsidR="00136B75" w:rsidRPr="00F203F4">
        <w:rPr>
          <w:rFonts w:ascii="Verdana" w:hAnsi="Verdana" w:cs="Times New Roman"/>
        </w:rPr>
        <w:t>bbligo di consolidamento dei bilanci che è al momento previsto nel 2018.</w:t>
      </w:r>
      <w:r w:rsidR="004E2354">
        <w:rPr>
          <w:rFonts w:ascii="Verdana" w:hAnsi="Verdana" w:cs="Times New Roman"/>
        </w:rPr>
        <w:t xml:space="preserve"> Ulteriori problematiche riguardano la salvaguarda degli equilibri prima ricercati con il Patto Interno di Stabilità e le problematiche relative al rispetto del principio di pareggio di bilancio ora previsto costituzionalmente.</w:t>
      </w:r>
      <w:bookmarkStart w:id="0" w:name="_GoBack"/>
      <w:bookmarkEnd w:id="0"/>
    </w:p>
    <w:p w:rsidR="00E02A25" w:rsidRDefault="00E02A25" w:rsidP="00EB5870">
      <w:pPr>
        <w:jc w:val="both"/>
        <w:rPr>
          <w:rFonts w:ascii="Verdana" w:hAnsi="Verdana" w:cs="Times New Roman"/>
        </w:rPr>
      </w:pPr>
      <w:r w:rsidRPr="00F203F4">
        <w:rPr>
          <w:rFonts w:ascii="Verdana" w:hAnsi="Verdana" w:cs="Times New Roman"/>
        </w:rPr>
        <w:t>In questo contesto va anche ricordato che il tema della convergenza contabile si innesta nel più ampio dibattito sulla stand</w:t>
      </w:r>
      <w:r>
        <w:rPr>
          <w:rFonts w:ascii="Verdana" w:hAnsi="Verdana" w:cs="Times New Roman"/>
        </w:rPr>
        <w:t xml:space="preserve">ardizzazione a livello </w:t>
      </w:r>
      <w:r w:rsidR="00EB5870">
        <w:rPr>
          <w:rFonts w:ascii="Verdana" w:hAnsi="Verdana" w:cs="Times New Roman"/>
        </w:rPr>
        <w:t>comunitario</w:t>
      </w:r>
      <w:r>
        <w:rPr>
          <w:rFonts w:ascii="Verdana" w:hAnsi="Verdana" w:cs="Times New Roman"/>
        </w:rPr>
        <w:t>, con</w:t>
      </w:r>
      <w:r w:rsidRPr="00F203F4">
        <w:rPr>
          <w:rFonts w:ascii="Verdana" w:hAnsi="Verdana" w:cs="Times New Roman"/>
        </w:rPr>
        <w:t xml:space="preserve"> le iniziative prese dalla Commissione </w:t>
      </w:r>
      <w:r w:rsidR="00EB5870">
        <w:rPr>
          <w:rFonts w:ascii="Verdana" w:hAnsi="Verdana" w:cs="Times New Roman"/>
        </w:rPr>
        <w:t xml:space="preserve">europea </w:t>
      </w:r>
      <w:r w:rsidRPr="00F203F4">
        <w:rPr>
          <w:rFonts w:ascii="Verdana" w:hAnsi="Verdana" w:cs="Times New Roman"/>
        </w:rPr>
        <w:t xml:space="preserve">per valutare l’emanazione di appositi principi </w:t>
      </w:r>
      <w:r>
        <w:rPr>
          <w:rFonts w:ascii="Verdana" w:hAnsi="Verdana" w:cs="Times New Roman"/>
        </w:rPr>
        <w:t xml:space="preserve">contabili </w:t>
      </w:r>
      <w:r w:rsidRPr="00F203F4">
        <w:rPr>
          <w:rFonts w:ascii="Verdana" w:hAnsi="Verdana" w:cs="Times New Roman"/>
        </w:rPr>
        <w:t>(denominati EPSAS) basati, almeno in una prima fase, sui preesistenti IPSAS.</w:t>
      </w:r>
    </w:p>
    <w:p w:rsidR="00F203F4" w:rsidRPr="00F203F4" w:rsidRDefault="00136B75" w:rsidP="00EB5870">
      <w:pPr>
        <w:jc w:val="both"/>
        <w:rPr>
          <w:rFonts w:ascii="Verdana" w:hAnsi="Verdana" w:cs="Times New Roman"/>
        </w:rPr>
      </w:pPr>
      <w:r w:rsidRPr="00F203F4">
        <w:rPr>
          <w:rFonts w:ascii="Verdana" w:hAnsi="Verdana" w:cs="Times New Roman"/>
        </w:rPr>
        <w:t>I profili di analisi, dunque</w:t>
      </w:r>
      <w:r w:rsidR="004E2354">
        <w:rPr>
          <w:rFonts w:ascii="Verdana" w:hAnsi="Verdana" w:cs="Times New Roman"/>
        </w:rPr>
        <w:t>,</w:t>
      </w:r>
      <w:r w:rsidRPr="00F203F4">
        <w:rPr>
          <w:rFonts w:ascii="Verdana" w:hAnsi="Verdana" w:cs="Times New Roman"/>
        </w:rPr>
        <w:t xml:space="preserve"> non mancano, sia dal punto di vista teorico che operativo. In questo momento così cruciale, in cui gli effetti della crisi economica e di finanza pubblica interagiscono con profonde mutazioni sociali e culturali, provocando anche tensioni nei tradizionali modelli di governo delle democrazie occidentali e nei paradigmi interpretativi utilizzati dagli studiosi, è da auspicare il contributo degli aziendalisti italiani</w:t>
      </w:r>
      <w:r w:rsidR="00F203F4" w:rsidRPr="00F203F4">
        <w:rPr>
          <w:rFonts w:ascii="Verdana" w:hAnsi="Verdana" w:cs="Times New Roman"/>
        </w:rPr>
        <w:t>.</w:t>
      </w:r>
      <w:r w:rsidR="00EB5870">
        <w:rPr>
          <w:rFonts w:ascii="Verdana" w:hAnsi="Verdana" w:cs="Times New Roman"/>
        </w:rPr>
        <w:t xml:space="preserve"> </w:t>
      </w:r>
      <w:r w:rsidR="00F203F4" w:rsidRPr="00F203F4">
        <w:rPr>
          <w:rFonts w:ascii="Verdana" w:hAnsi="Verdana" w:cs="Times New Roman"/>
        </w:rPr>
        <w:t xml:space="preserve">In tal senso Sidrea, come “casa” degli economisti d’azienda che </w:t>
      </w:r>
      <w:r w:rsidR="004E2354">
        <w:rPr>
          <w:rFonts w:ascii="Verdana" w:hAnsi="Verdana" w:cs="Times New Roman"/>
        </w:rPr>
        <w:t>da lungo tempo</w:t>
      </w:r>
      <w:r w:rsidR="00F203F4" w:rsidRPr="00F203F4">
        <w:rPr>
          <w:rFonts w:ascii="Verdana" w:hAnsi="Verdana" w:cs="Times New Roman"/>
        </w:rPr>
        <w:t xml:space="preserve"> contemplano le amministrazione</w:t>
      </w:r>
      <w:r w:rsidR="004E2354">
        <w:rPr>
          <w:rFonts w:ascii="Verdana" w:hAnsi="Verdana" w:cs="Times New Roman"/>
        </w:rPr>
        <w:t xml:space="preserve"> pubbliche</w:t>
      </w:r>
      <w:r w:rsidR="00F203F4" w:rsidRPr="00F203F4">
        <w:rPr>
          <w:rFonts w:ascii="Verdana" w:hAnsi="Verdana" w:cs="Times New Roman"/>
        </w:rPr>
        <w:t xml:space="preserve"> come oggetto tipico della loro disciplina, intende promuovere un gruppo di lavoro sul tema dell’unificazione contabile della Pubblica Amministrazione, auspicando una significativa adesione dei propri associati.</w:t>
      </w:r>
    </w:p>
    <w:p w:rsidR="00F203F4" w:rsidRDefault="00F203F4" w:rsidP="003828A2">
      <w:pPr>
        <w:spacing w:after="0"/>
        <w:jc w:val="both"/>
        <w:rPr>
          <w:rFonts w:ascii="Verdana" w:hAnsi="Verdana" w:cs="Times New Roman"/>
        </w:rPr>
      </w:pPr>
      <w:r w:rsidRPr="00F203F4">
        <w:rPr>
          <w:rFonts w:ascii="Verdana" w:hAnsi="Verdana" w:cs="Times New Roman"/>
        </w:rPr>
        <w:t xml:space="preserve">In prima approssimazione gli studi, tra loro coordinati, si svilupperanno intorno ai seguenti </w:t>
      </w:r>
      <w:r w:rsidR="00305702">
        <w:rPr>
          <w:rFonts w:ascii="Verdana" w:hAnsi="Verdana" w:cs="Times New Roman"/>
        </w:rPr>
        <w:t>quattro</w:t>
      </w:r>
      <w:r w:rsidRPr="00F203F4">
        <w:rPr>
          <w:rFonts w:ascii="Verdana" w:hAnsi="Verdana" w:cs="Times New Roman"/>
        </w:rPr>
        <w:t xml:space="preserve"> sotto</w:t>
      </w:r>
      <w:r w:rsidR="0078087A">
        <w:rPr>
          <w:rFonts w:ascii="Verdana" w:hAnsi="Verdana" w:cs="Times New Roman"/>
        </w:rPr>
        <w:t>-</w:t>
      </w:r>
      <w:r w:rsidRPr="00F203F4">
        <w:rPr>
          <w:rFonts w:ascii="Verdana" w:hAnsi="Verdana" w:cs="Times New Roman"/>
        </w:rPr>
        <w:t>temi</w:t>
      </w:r>
      <w:r w:rsidR="00CA45DF">
        <w:rPr>
          <w:rFonts w:ascii="Verdana" w:hAnsi="Verdana" w:cs="Times New Roman"/>
        </w:rPr>
        <w:t xml:space="preserve">, </w:t>
      </w:r>
      <w:r w:rsidR="00452095">
        <w:rPr>
          <w:rFonts w:ascii="Verdana" w:hAnsi="Verdana" w:cs="Times New Roman"/>
        </w:rPr>
        <w:t xml:space="preserve">con </w:t>
      </w:r>
      <w:r w:rsidR="00CA45DF">
        <w:rPr>
          <w:rFonts w:ascii="Verdana" w:hAnsi="Verdana" w:cs="Times New Roman"/>
        </w:rPr>
        <w:t xml:space="preserve">la formazione di </w:t>
      </w:r>
      <w:r w:rsidR="00452095">
        <w:rPr>
          <w:rFonts w:ascii="Verdana" w:hAnsi="Verdana" w:cs="Times New Roman"/>
        </w:rPr>
        <w:t>al</w:t>
      </w:r>
      <w:r w:rsidR="00CA45DF">
        <w:rPr>
          <w:rFonts w:ascii="Verdana" w:hAnsi="Verdana" w:cs="Times New Roman"/>
        </w:rPr>
        <w:t>trettanti gruppi di lavoro e possibili sub-articolazioni:</w:t>
      </w:r>
    </w:p>
    <w:p w:rsidR="00EB5870" w:rsidRPr="00305702" w:rsidRDefault="00316B5E" w:rsidP="00316B5E">
      <w:pPr>
        <w:pStyle w:val="Paragrafoelenco"/>
        <w:numPr>
          <w:ilvl w:val="0"/>
          <w:numId w:val="12"/>
        </w:numPr>
        <w:ind w:left="284" w:hanging="284"/>
        <w:rPr>
          <w:rFonts w:ascii="Verdana" w:hAnsi="Verdana" w:cs="Times New Roman"/>
          <w:i/>
        </w:rPr>
      </w:pPr>
      <w:r w:rsidRPr="00EB5870">
        <w:rPr>
          <w:rFonts w:ascii="Verdana" w:hAnsi="Verdana" w:cs="Times New Roman"/>
          <w:b/>
          <w:i/>
        </w:rPr>
        <w:t xml:space="preserve">la nuova contabilità e il bilancio degli Enti Locali: </w:t>
      </w:r>
      <w:r w:rsidR="00EB5870" w:rsidRPr="00EB5870">
        <w:rPr>
          <w:rFonts w:ascii="Verdana" w:hAnsi="Verdana" w:cs="Times New Roman"/>
          <w:b/>
          <w:i/>
        </w:rPr>
        <w:t xml:space="preserve">le </w:t>
      </w:r>
      <w:r w:rsidR="00452095" w:rsidRPr="00EB5870">
        <w:rPr>
          <w:rFonts w:ascii="Verdana" w:hAnsi="Verdana" w:cs="Times New Roman"/>
          <w:b/>
          <w:i/>
        </w:rPr>
        <w:t>prime esperienze</w:t>
      </w:r>
    </w:p>
    <w:p w:rsidR="00305702" w:rsidRPr="00EB5870" w:rsidRDefault="00305702" w:rsidP="00316B5E">
      <w:pPr>
        <w:pStyle w:val="Paragrafoelenco"/>
        <w:numPr>
          <w:ilvl w:val="0"/>
          <w:numId w:val="12"/>
        </w:numPr>
        <w:ind w:left="284" w:hanging="284"/>
        <w:rPr>
          <w:rFonts w:ascii="Verdana" w:hAnsi="Verdana" w:cs="Times New Roman"/>
          <w:i/>
        </w:rPr>
      </w:pPr>
      <w:r>
        <w:rPr>
          <w:rFonts w:ascii="Verdana" w:hAnsi="Verdana" w:cs="Times New Roman"/>
          <w:b/>
          <w:i/>
        </w:rPr>
        <w:t>la nuova contabilità e il bilancio delle Regioni</w:t>
      </w:r>
    </w:p>
    <w:p w:rsidR="00EB5870" w:rsidRPr="00EB5870" w:rsidRDefault="00316B5E" w:rsidP="00316B5E">
      <w:pPr>
        <w:pStyle w:val="Paragrafoelenco"/>
        <w:numPr>
          <w:ilvl w:val="0"/>
          <w:numId w:val="12"/>
        </w:numPr>
        <w:ind w:left="284" w:hanging="284"/>
        <w:rPr>
          <w:rFonts w:ascii="Verdana" w:hAnsi="Verdana" w:cs="Times New Roman"/>
          <w:b/>
          <w:i/>
        </w:rPr>
      </w:pPr>
      <w:r w:rsidRPr="00EB5870">
        <w:rPr>
          <w:rFonts w:ascii="Verdana" w:hAnsi="Verdana" w:cs="Times New Roman"/>
          <w:b/>
          <w:i/>
        </w:rPr>
        <w:t>l’uniformazione contabile italiana nel contesto internazionale</w:t>
      </w:r>
    </w:p>
    <w:p w:rsidR="00EB5870" w:rsidRPr="00EB5870" w:rsidRDefault="00316B5E" w:rsidP="00316B5E">
      <w:pPr>
        <w:pStyle w:val="Paragrafoelenco"/>
        <w:numPr>
          <w:ilvl w:val="0"/>
          <w:numId w:val="12"/>
        </w:numPr>
        <w:ind w:left="284" w:hanging="284"/>
        <w:rPr>
          <w:rFonts w:ascii="Verdana" w:hAnsi="Verdana" w:cs="Times New Roman"/>
          <w:b/>
          <w:i/>
        </w:rPr>
      </w:pPr>
      <w:r w:rsidRPr="00EB5870">
        <w:rPr>
          <w:rFonts w:ascii="Verdana" w:hAnsi="Verdana" w:cs="Times New Roman"/>
          <w:b/>
          <w:i/>
        </w:rPr>
        <w:t>il gruppo pubblico locale e il consolidamento dei conti</w:t>
      </w:r>
    </w:p>
    <w:p w:rsidR="00F203F4" w:rsidRDefault="00F203F4" w:rsidP="00452095">
      <w:pPr>
        <w:jc w:val="both"/>
        <w:rPr>
          <w:rFonts w:ascii="Verdana" w:hAnsi="Verdana" w:cs="Times New Roman"/>
        </w:rPr>
      </w:pPr>
      <w:r w:rsidRPr="00F203F4">
        <w:rPr>
          <w:rFonts w:ascii="Verdana" w:hAnsi="Verdana" w:cs="Times New Roman"/>
        </w:rPr>
        <w:t xml:space="preserve">Il proposito è di avviare un processo di studio e </w:t>
      </w:r>
      <w:r w:rsidR="00EB5870">
        <w:rPr>
          <w:rFonts w:ascii="Verdana" w:hAnsi="Verdana" w:cs="Times New Roman"/>
        </w:rPr>
        <w:t xml:space="preserve">di </w:t>
      </w:r>
      <w:r w:rsidRPr="00F203F4">
        <w:rPr>
          <w:rFonts w:ascii="Verdana" w:hAnsi="Verdana" w:cs="Times New Roman"/>
        </w:rPr>
        <w:t xml:space="preserve">confronto </w:t>
      </w:r>
      <w:r w:rsidR="00EB5870">
        <w:rPr>
          <w:rFonts w:ascii="Verdana" w:hAnsi="Verdana" w:cs="Times New Roman"/>
        </w:rPr>
        <w:t xml:space="preserve">collaborativo e </w:t>
      </w:r>
      <w:r w:rsidRPr="00F203F4">
        <w:rPr>
          <w:rFonts w:ascii="Verdana" w:hAnsi="Verdana" w:cs="Times New Roman"/>
        </w:rPr>
        <w:t>sistemati</w:t>
      </w:r>
      <w:r w:rsidR="00CA45DF">
        <w:rPr>
          <w:rFonts w:ascii="Verdana" w:hAnsi="Verdana" w:cs="Times New Roman"/>
        </w:rPr>
        <w:t xml:space="preserve">co all’interno dei vari </w:t>
      </w:r>
      <w:r w:rsidR="00EB5870">
        <w:rPr>
          <w:rFonts w:ascii="Verdana" w:hAnsi="Verdana" w:cs="Times New Roman"/>
        </w:rPr>
        <w:t xml:space="preserve">gruppi che possa produrre </w:t>
      </w:r>
      <w:r w:rsidRPr="00F203F4">
        <w:rPr>
          <w:rFonts w:ascii="Verdana" w:hAnsi="Verdana" w:cs="Times New Roman"/>
        </w:rPr>
        <w:t xml:space="preserve">i primi </w:t>
      </w:r>
      <w:r w:rsidR="00EB5870">
        <w:rPr>
          <w:rFonts w:ascii="Verdana" w:hAnsi="Verdana" w:cs="Times New Roman"/>
        </w:rPr>
        <w:t xml:space="preserve">significativi </w:t>
      </w:r>
      <w:r w:rsidRPr="00F203F4">
        <w:rPr>
          <w:rFonts w:ascii="Verdana" w:hAnsi="Verdana" w:cs="Times New Roman"/>
        </w:rPr>
        <w:t xml:space="preserve">risultati nel </w:t>
      </w:r>
      <w:r w:rsidRPr="00452095">
        <w:rPr>
          <w:rFonts w:ascii="Verdana" w:hAnsi="Verdana" w:cs="Times New Roman"/>
        </w:rPr>
        <w:t>settembre 2017</w:t>
      </w:r>
      <w:r w:rsidR="00EB5870">
        <w:rPr>
          <w:rFonts w:ascii="Verdana" w:hAnsi="Verdana" w:cs="Times New Roman"/>
        </w:rPr>
        <w:t xml:space="preserve">, in occasione di un apposito </w:t>
      </w:r>
      <w:r w:rsidRPr="00F203F4">
        <w:rPr>
          <w:rFonts w:ascii="Verdana" w:hAnsi="Verdana" w:cs="Times New Roman"/>
        </w:rPr>
        <w:t xml:space="preserve">workshop promosso </w:t>
      </w:r>
      <w:r w:rsidR="00EB5870">
        <w:rPr>
          <w:rFonts w:ascii="Verdana" w:hAnsi="Verdana" w:cs="Times New Roman"/>
        </w:rPr>
        <w:t xml:space="preserve">anche allo scopo di coinvolgere e rivolgersi agli operatori istituzionali e la comunità dei </w:t>
      </w:r>
      <w:r w:rsidR="00EB5870" w:rsidRPr="00EB5870">
        <w:rPr>
          <w:rFonts w:ascii="Verdana" w:hAnsi="Verdana" w:cs="Times New Roman"/>
          <w:i/>
        </w:rPr>
        <w:t>pratictioners</w:t>
      </w:r>
      <w:r w:rsidR="00EB5870">
        <w:rPr>
          <w:rFonts w:ascii="Verdana" w:hAnsi="Verdana" w:cs="Times New Roman"/>
        </w:rPr>
        <w:t>.</w:t>
      </w:r>
      <w:r w:rsidR="004E2354">
        <w:rPr>
          <w:rFonts w:ascii="Verdana" w:hAnsi="Verdana" w:cs="Times New Roman"/>
        </w:rPr>
        <w:t xml:space="preserve"> </w:t>
      </w:r>
      <w:r w:rsidRPr="00F203F4">
        <w:rPr>
          <w:rFonts w:ascii="Verdana" w:hAnsi="Verdana" w:cs="Times New Roman"/>
        </w:rPr>
        <w:t xml:space="preserve">L’ouput ultimo sarà rappresentato dalla pubblicazione di </w:t>
      </w:r>
      <w:r w:rsidR="00305702">
        <w:rPr>
          <w:rFonts w:ascii="Verdana" w:hAnsi="Verdana" w:cs="Times New Roman"/>
        </w:rPr>
        <w:t>quattro</w:t>
      </w:r>
      <w:r w:rsidRPr="00F203F4">
        <w:rPr>
          <w:rFonts w:ascii="Verdana" w:hAnsi="Verdana" w:cs="Times New Roman"/>
        </w:rPr>
        <w:t xml:space="preserve"> volumi prevista per la primavera del 2018.</w:t>
      </w:r>
    </w:p>
    <w:sectPr w:rsidR="00F203F4" w:rsidSect="002F73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3053" w:rsidRDefault="00513053" w:rsidP="00D22281">
      <w:pPr>
        <w:spacing w:after="0" w:line="240" w:lineRule="auto"/>
      </w:pPr>
      <w:r>
        <w:separator/>
      </w:r>
    </w:p>
  </w:endnote>
  <w:endnote w:type="continuationSeparator" w:id="0">
    <w:p w:rsidR="00513053" w:rsidRDefault="00513053" w:rsidP="00D22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3053" w:rsidRDefault="00513053" w:rsidP="00D22281">
      <w:pPr>
        <w:spacing w:after="0" w:line="240" w:lineRule="auto"/>
      </w:pPr>
      <w:r>
        <w:separator/>
      </w:r>
    </w:p>
  </w:footnote>
  <w:footnote w:type="continuationSeparator" w:id="0">
    <w:p w:rsidR="00513053" w:rsidRDefault="00513053" w:rsidP="00D22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7782B"/>
    <w:multiLevelType w:val="hybridMultilevel"/>
    <w:tmpl w:val="CB5C0D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D2E41"/>
    <w:multiLevelType w:val="hybridMultilevel"/>
    <w:tmpl w:val="81E84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35649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16C128B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F1A674B"/>
    <w:multiLevelType w:val="hybridMultilevel"/>
    <w:tmpl w:val="DAD24F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1241E"/>
    <w:multiLevelType w:val="hybridMultilevel"/>
    <w:tmpl w:val="768AE8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8223E1"/>
    <w:multiLevelType w:val="hybridMultilevel"/>
    <w:tmpl w:val="72B889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84626B"/>
    <w:multiLevelType w:val="hybridMultilevel"/>
    <w:tmpl w:val="FFF64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1B3C3A"/>
    <w:multiLevelType w:val="hybridMultilevel"/>
    <w:tmpl w:val="759693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5F42A7"/>
    <w:multiLevelType w:val="hybridMultilevel"/>
    <w:tmpl w:val="8048F0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F274E4"/>
    <w:multiLevelType w:val="hybridMultilevel"/>
    <w:tmpl w:val="26C82F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F35CF6"/>
    <w:multiLevelType w:val="hybridMultilevel"/>
    <w:tmpl w:val="217626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11"/>
  </w:num>
  <w:num w:numId="8">
    <w:abstractNumId w:val="5"/>
  </w:num>
  <w:num w:numId="9">
    <w:abstractNumId w:val="9"/>
  </w:num>
  <w:num w:numId="10">
    <w:abstractNumId w:val="4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281"/>
    <w:rsid w:val="00085DD4"/>
    <w:rsid w:val="000D73CF"/>
    <w:rsid w:val="00136B75"/>
    <w:rsid w:val="00141896"/>
    <w:rsid w:val="002F7377"/>
    <w:rsid w:val="00305702"/>
    <w:rsid w:val="00316B5E"/>
    <w:rsid w:val="003828A2"/>
    <w:rsid w:val="0040295C"/>
    <w:rsid w:val="00452095"/>
    <w:rsid w:val="004E2354"/>
    <w:rsid w:val="00513053"/>
    <w:rsid w:val="005B169E"/>
    <w:rsid w:val="005F5019"/>
    <w:rsid w:val="006B017A"/>
    <w:rsid w:val="0078087A"/>
    <w:rsid w:val="00941334"/>
    <w:rsid w:val="009905E3"/>
    <w:rsid w:val="00995891"/>
    <w:rsid w:val="00A1046A"/>
    <w:rsid w:val="00B702B6"/>
    <w:rsid w:val="00CA45DF"/>
    <w:rsid w:val="00D22281"/>
    <w:rsid w:val="00D355E1"/>
    <w:rsid w:val="00E02A25"/>
    <w:rsid w:val="00E8134D"/>
    <w:rsid w:val="00EB5870"/>
    <w:rsid w:val="00EC5E3B"/>
    <w:rsid w:val="00F2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3370A5-FBAC-49FE-87CD-06E978BE6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F737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D22281"/>
    <w:pPr>
      <w:spacing w:after="0" w:line="240" w:lineRule="auto"/>
      <w:jc w:val="both"/>
    </w:pPr>
    <w:rPr>
      <w:rFonts w:eastAsiaTheme="minorHAns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22281"/>
    <w:rPr>
      <w:rFonts w:eastAsiaTheme="minorHAnsi"/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unhideWhenUsed/>
    <w:rsid w:val="00D22281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D22281"/>
    <w:pPr>
      <w:spacing w:after="0" w:line="360" w:lineRule="auto"/>
      <w:ind w:left="720"/>
      <w:contextualSpacing/>
      <w:jc w:val="both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6A446-7558-49C0-8658-5C286D72F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Nano</dc:creator>
  <cp:lastModifiedBy>Luciano Marchi</cp:lastModifiedBy>
  <cp:revision>5</cp:revision>
  <dcterms:created xsi:type="dcterms:W3CDTF">2017-01-14T11:02:00Z</dcterms:created>
  <dcterms:modified xsi:type="dcterms:W3CDTF">2017-01-14T11:05:00Z</dcterms:modified>
</cp:coreProperties>
</file>